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微软雅黑" w:hAnsi="微软雅黑" w:eastAsia="微软雅黑"/>
          <w:b/>
          <w:bCs/>
          <w:sz w:val="30"/>
          <w:szCs w:val="30"/>
        </w:rPr>
      </w:pPr>
      <w:r>
        <w:rPr>
          <w:rFonts w:ascii="微软雅黑" w:hAnsi="微软雅黑" w:eastAsia="微软雅黑"/>
          <w:b/>
          <w:bCs/>
          <w:sz w:val="30"/>
          <w:szCs w:val="30"/>
        </w:rPr>
        <w:t>上海</w:t>
      </w:r>
      <w:r>
        <w:rPr>
          <w:rFonts w:hint="eastAsia" w:ascii="微软雅黑" w:hAnsi="微软雅黑" w:eastAsia="微软雅黑"/>
          <w:b/>
          <w:bCs/>
          <w:sz w:val="30"/>
          <w:szCs w:val="30"/>
        </w:rPr>
        <w:t>民用飞机健康监控工程技术研究中心开放课题</w:t>
      </w:r>
      <w:r>
        <w:rPr>
          <w:rFonts w:ascii="微软雅黑" w:hAnsi="微软雅黑" w:eastAsia="微软雅黑"/>
          <w:b/>
          <w:bCs/>
          <w:sz w:val="30"/>
          <w:szCs w:val="30"/>
        </w:rPr>
        <w:t xml:space="preserve">基金 </w:t>
      </w:r>
    </w:p>
    <w:p>
      <w:pPr>
        <w:spacing w:line="360" w:lineRule="auto"/>
        <w:jc w:val="center"/>
        <w:rPr>
          <w:rFonts w:ascii="微软雅黑" w:hAnsi="微软雅黑" w:eastAsia="微软雅黑"/>
          <w:b/>
          <w:bCs/>
          <w:sz w:val="30"/>
          <w:szCs w:val="30"/>
        </w:rPr>
      </w:pPr>
      <w:r>
        <w:rPr>
          <w:rFonts w:ascii="微软雅黑" w:hAnsi="微软雅黑" w:eastAsia="微软雅黑"/>
          <w:b/>
          <w:bCs/>
          <w:sz w:val="30"/>
          <w:szCs w:val="30"/>
        </w:rPr>
        <w:t>2024年度项目指南</w:t>
      </w:r>
    </w:p>
    <w:p>
      <w:pPr>
        <w:pStyle w:val="12"/>
        <w:numPr>
          <w:ilvl w:val="0"/>
          <w:numId w:val="1"/>
        </w:numPr>
        <w:spacing w:line="560" w:lineRule="exact"/>
        <w:ind w:firstLineChars="0"/>
        <w:jc w:val="left"/>
        <w:rPr>
          <w:rFonts w:ascii="黑体" w:hAnsi="黑体" w:eastAsia="黑体"/>
          <w:b/>
          <w:bCs/>
          <w:sz w:val="24"/>
          <w:szCs w:val="24"/>
        </w:rPr>
      </w:pPr>
      <w:r>
        <w:rPr>
          <w:rFonts w:hint="eastAsia" w:ascii="黑体" w:hAnsi="黑体" w:eastAsia="黑体"/>
          <w:b/>
          <w:bCs/>
          <w:sz w:val="24"/>
          <w:szCs w:val="24"/>
        </w:rPr>
        <w:t>项目来源</w:t>
      </w:r>
    </w:p>
    <w:p>
      <w:pPr>
        <w:pStyle w:val="12"/>
        <w:spacing w:line="560" w:lineRule="exact"/>
        <w:ind w:left="480" w:firstLine="0" w:firstLineChars="0"/>
        <w:jc w:val="left"/>
        <w:rPr>
          <w:rFonts w:ascii="宋体" w:hAnsi="宋体" w:eastAsia="宋体"/>
          <w:sz w:val="24"/>
          <w:szCs w:val="24"/>
        </w:rPr>
      </w:pPr>
      <w:r>
        <w:rPr>
          <w:rFonts w:hint="eastAsia" w:ascii="宋体" w:hAnsi="宋体" w:eastAsia="宋体"/>
          <w:sz w:val="24"/>
          <w:szCs w:val="24"/>
        </w:rPr>
        <w:t>上海</w:t>
      </w:r>
      <w:r>
        <w:rPr>
          <w:rFonts w:hint="eastAsia" w:ascii="宋体" w:hAnsi="宋体" w:eastAsia="宋体"/>
          <w:sz w:val="24"/>
          <w:szCs w:val="24"/>
          <w:lang w:eastAsia="zh-CN"/>
        </w:rPr>
        <w:t>飞机客户服务有限</w:t>
      </w:r>
      <w:r>
        <w:rPr>
          <w:rFonts w:hint="eastAsia" w:ascii="宋体" w:hAnsi="宋体" w:eastAsia="宋体"/>
          <w:sz w:val="24"/>
          <w:szCs w:val="24"/>
        </w:rPr>
        <w:t>公司</w:t>
      </w:r>
    </w:p>
    <w:p>
      <w:pPr>
        <w:pStyle w:val="12"/>
        <w:numPr>
          <w:ilvl w:val="0"/>
          <w:numId w:val="1"/>
        </w:numPr>
        <w:spacing w:line="560" w:lineRule="exact"/>
        <w:ind w:firstLineChars="0"/>
        <w:jc w:val="left"/>
        <w:rPr>
          <w:rFonts w:ascii="黑体" w:hAnsi="黑体" w:eastAsia="黑体"/>
          <w:b/>
          <w:bCs/>
          <w:sz w:val="24"/>
          <w:szCs w:val="24"/>
        </w:rPr>
      </w:pPr>
      <w:r>
        <w:rPr>
          <w:rFonts w:hint="eastAsia" w:ascii="黑体" w:hAnsi="黑体" w:eastAsia="黑体"/>
          <w:b/>
          <w:bCs/>
          <w:sz w:val="24"/>
          <w:szCs w:val="24"/>
        </w:rPr>
        <w:t>项目名称与方向</w:t>
      </w:r>
    </w:p>
    <w:p>
      <w:pPr>
        <w:spacing w:line="560" w:lineRule="exact"/>
        <w:ind w:firstLine="480"/>
        <w:jc w:val="left"/>
        <w:rPr>
          <w:rFonts w:ascii="宋体" w:hAnsi="宋体" w:eastAsia="宋体"/>
          <w:sz w:val="24"/>
          <w:szCs w:val="24"/>
        </w:rPr>
      </w:pPr>
      <w:r>
        <w:rPr>
          <w:rFonts w:hint="eastAsia" w:ascii="宋体" w:hAnsi="宋体" w:eastAsia="宋体"/>
          <w:sz w:val="24"/>
          <w:szCs w:val="24"/>
        </w:rPr>
        <w:t>项目名称：基于低秩适配微调预训练大模型的飞机典型部件故障预测技术</w:t>
      </w:r>
    </w:p>
    <w:p>
      <w:pPr>
        <w:spacing w:line="560" w:lineRule="exact"/>
        <w:ind w:firstLine="480"/>
        <w:jc w:val="left"/>
        <w:rPr>
          <w:rFonts w:ascii="宋体" w:hAnsi="宋体" w:eastAsia="宋体"/>
          <w:sz w:val="24"/>
          <w:szCs w:val="24"/>
        </w:rPr>
      </w:pPr>
      <w:r>
        <w:rPr>
          <w:rFonts w:hint="eastAsia" w:ascii="宋体" w:hAnsi="宋体" w:eastAsia="宋体"/>
          <w:sz w:val="24"/>
          <w:szCs w:val="24"/>
        </w:rPr>
        <w:t>项目方向：数据驱动预测性维护技术研究与产品开发</w:t>
      </w:r>
    </w:p>
    <w:p>
      <w:pPr>
        <w:pStyle w:val="12"/>
        <w:numPr>
          <w:ilvl w:val="0"/>
          <w:numId w:val="1"/>
        </w:numPr>
        <w:spacing w:line="560" w:lineRule="exact"/>
        <w:ind w:firstLineChars="0"/>
        <w:jc w:val="left"/>
        <w:rPr>
          <w:rFonts w:ascii="黑体" w:hAnsi="黑体" w:eastAsia="黑体"/>
          <w:b/>
          <w:bCs/>
          <w:sz w:val="24"/>
          <w:szCs w:val="24"/>
        </w:rPr>
      </w:pPr>
      <w:r>
        <w:rPr>
          <w:rFonts w:hint="eastAsia" w:ascii="黑体" w:hAnsi="黑体" w:eastAsia="黑体"/>
          <w:b/>
          <w:bCs/>
          <w:sz w:val="24"/>
          <w:szCs w:val="24"/>
        </w:rPr>
        <w:t>项目目标</w:t>
      </w:r>
    </w:p>
    <w:p>
      <w:pPr>
        <w:spacing w:line="560" w:lineRule="exact"/>
        <w:ind w:firstLine="480"/>
        <w:rPr>
          <w:rFonts w:ascii="宋体" w:hAnsi="宋体" w:eastAsia="宋体"/>
          <w:sz w:val="24"/>
          <w:szCs w:val="24"/>
        </w:rPr>
      </w:pPr>
      <w:r>
        <w:rPr>
          <w:rFonts w:hint="eastAsia" w:ascii="宋体" w:hAnsi="宋体" w:eastAsia="宋体"/>
          <w:sz w:val="24"/>
          <w:szCs w:val="24"/>
        </w:rPr>
        <w:t>准确有效的故障预测是飞机实现预测性维护的前提。然而目前飞机实际飞行过程中由于受飞行环境、部件运行环境、数据传输等多种因素的影响，致使当前故障预测面临部件监测数据差异性大、故障样本/退化数据不足等问题，特别是在ARJ21飞机某些部件运行数据采集不足的问题，传统的预测模型往往无法满足飞机预测的通用性和适用性要求，使得针对飞机典型部件故障预测的准确率较低，严重制约了现有故障预测技术的应用与实践。当前，大型预训练模型具有强泛化自适应、强推理等能力，并已在时序预测领域开展了初步研究尝试，为解决飞机典型部件预测的通用性、适用性和提高故障预测精度提供了新的技术途径。鉴于此，本项目借助于低秩适配微调、大型预训练模型优势，开展故障预测垂直大模型的建模、微调、预测等技术研究，在其他</w:t>
      </w:r>
      <w:r>
        <w:rPr>
          <w:rFonts w:hint="eastAsia" w:ascii="宋体" w:hAnsi="宋体" w:eastAsia="宋体"/>
          <w:sz w:val="24"/>
          <w:szCs w:val="24"/>
          <w:lang w:val="en-US" w:eastAsia="zh-CN"/>
        </w:rPr>
        <w:t>成熟机型</w:t>
      </w:r>
      <w:r>
        <w:rPr>
          <w:rFonts w:hint="eastAsia" w:ascii="宋体" w:hAnsi="宋体" w:eastAsia="宋体"/>
          <w:sz w:val="24"/>
          <w:szCs w:val="24"/>
        </w:rPr>
        <w:t>大数据优势，实现数据迁移，突破在实际飞行条件下数据大差异、故障数据不足条件下的故障预测技术，实现多领域预测知识在ARJ21、C919型号典型部件故障预测中的迁移与应用，打通基于大模型的飞机典型部件（齿轮或轴承）故障预测技术流程，为解决故障预测在实际工程需求下的通用性和适用性奠定基础。</w:t>
      </w:r>
    </w:p>
    <w:p>
      <w:pPr>
        <w:pStyle w:val="12"/>
        <w:numPr>
          <w:ilvl w:val="0"/>
          <w:numId w:val="1"/>
        </w:numPr>
        <w:spacing w:line="560" w:lineRule="exact"/>
        <w:ind w:firstLineChars="0"/>
        <w:jc w:val="left"/>
        <w:rPr>
          <w:rFonts w:ascii="黑体" w:hAnsi="黑体" w:eastAsia="黑体"/>
          <w:b/>
          <w:bCs/>
          <w:sz w:val="24"/>
          <w:szCs w:val="24"/>
        </w:rPr>
      </w:pPr>
      <w:r>
        <w:rPr>
          <w:rFonts w:hint="eastAsia" w:ascii="黑体" w:hAnsi="黑体" w:eastAsia="黑体"/>
          <w:b/>
          <w:bCs/>
          <w:sz w:val="24"/>
          <w:szCs w:val="24"/>
        </w:rPr>
        <w:t>研究内容</w:t>
      </w:r>
    </w:p>
    <w:p>
      <w:pPr>
        <w:spacing w:line="560" w:lineRule="exact"/>
        <w:ind w:firstLine="480"/>
        <w:jc w:val="left"/>
        <w:rPr>
          <w:rFonts w:ascii="宋体" w:hAnsi="宋体" w:eastAsia="宋体"/>
          <w:sz w:val="24"/>
          <w:szCs w:val="24"/>
        </w:rPr>
      </w:pPr>
      <w:r>
        <w:rPr>
          <w:rFonts w:ascii="宋体" w:hAnsi="宋体" w:eastAsia="宋体"/>
          <w:sz w:val="24"/>
          <w:szCs w:val="24"/>
        </w:rPr>
        <w:t>1.</w:t>
      </w:r>
      <w:r>
        <w:rPr>
          <w:rFonts w:hint="eastAsia" w:ascii="宋体" w:hAnsi="宋体" w:eastAsia="宋体"/>
          <w:b/>
          <w:sz w:val="24"/>
          <w:szCs w:val="24"/>
        </w:rPr>
        <w:t>飞机典型部件（齿轮或轴承）监测数据预处理与特征提取</w:t>
      </w:r>
      <w:r>
        <w:rPr>
          <w:rFonts w:hint="eastAsia" w:ascii="宋体" w:hAnsi="宋体" w:eastAsia="宋体"/>
          <w:sz w:val="24"/>
          <w:szCs w:val="24"/>
        </w:rPr>
        <w:t>：本部分结合飞机典型部件监测数据特点，研究振动信号的预处理及特征提取技术，并获得典型部件的退化量，从而完成与大模型的数据接口实现，为后续微调大模型奠定数据条件基础。</w:t>
      </w:r>
    </w:p>
    <w:p>
      <w:pPr>
        <w:spacing w:line="560" w:lineRule="exact"/>
        <w:ind w:firstLine="48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b/>
          <w:sz w:val="24"/>
          <w:szCs w:val="24"/>
        </w:rPr>
        <w:t>面向飞机典型部件监测数据的大型预训练模型低秩架构建模（Low</w:t>
      </w:r>
      <w:r>
        <w:rPr>
          <w:rFonts w:ascii="宋体" w:hAnsi="宋体" w:eastAsia="宋体"/>
          <w:b/>
          <w:sz w:val="24"/>
          <w:szCs w:val="24"/>
        </w:rPr>
        <w:t xml:space="preserve"> R</w:t>
      </w:r>
      <w:r>
        <w:rPr>
          <w:rFonts w:hint="eastAsia" w:ascii="宋体" w:hAnsi="宋体" w:eastAsia="宋体"/>
          <w:b/>
          <w:sz w:val="24"/>
          <w:szCs w:val="24"/>
        </w:rPr>
        <w:t>ank</w:t>
      </w:r>
      <w:r>
        <w:rPr>
          <w:rFonts w:ascii="宋体" w:hAnsi="宋体" w:eastAsia="宋体"/>
          <w:b/>
          <w:sz w:val="24"/>
          <w:szCs w:val="24"/>
        </w:rPr>
        <w:t xml:space="preserve"> A</w:t>
      </w:r>
      <w:r>
        <w:rPr>
          <w:rFonts w:hint="eastAsia" w:ascii="宋体" w:hAnsi="宋体" w:eastAsia="宋体"/>
          <w:b/>
          <w:sz w:val="24"/>
          <w:szCs w:val="24"/>
        </w:rPr>
        <w:t xml:space="preserve">daptation， </w:t>
      </w:r>
      <w:r>
        <w:rPr>
          <w:rFonts w:ascii="宋体" w:hAnsi="宋体" w:eastAsia="宋体"/>
          <w:b/>
          <w:sz w:val="24"/>
          <w:szCs w:val="24"/>
        </w:rPr>
        <w:t>L</w:t>
      </w:r>
      <w:r>
        <w:rPr>
          <w:rFonts w:hint="eastAsia" w:ascii="宋体" w:hAnsi="宋体" w:eastAsia="宋体"/>
          <w:b/>
          <w:sz w:val="24"/>
          <w:szCs w:val="24"/>
        </w:rPr>
        <w:t>oRA）</w:t>
      </w:r>
      <w:r>
        <w:rPr>
          <w:rFonts w:hint="eastAsia" w:ascii="宋体" w:hAnsi="宋体" w:eastAsia="宋体"/>
          <w:sz w:val="24"/>
          <w:szCs w:val="24"/>
        </w:rPr>
        <w:t>：本部分结合飞机典型部件数据特点、应用需求，研究面向飞机典型部件故障预测的大模型建模技术，研究大模型与飞机典型部件监测数据的输入层适配、微调层优选、预测层重构等核心建模技术，以构建典型部件故障预测大模型，从而继承大模型的多领域预测知识迁移能力和强泛化能力，以提升飞机典型部件的故障预测任务能力。</w:t>
      </w:r>
    </w:p>
    <w:p>
      <w:pPr>
        <w:spacing w:line="560" w:lineRule="exact"/>
        <w:ind w:firstLine="480"/>
        <w:rPr>
          <w:rFonts w:ascii="宋体" w:hAnsi="宋体" w:eastAsia="宋体"/>
          <w:sz w:val="24"/>
          <w:szCs w:val="24"/>
        </w:rPr>
      </w:pPr>
      <w:r>
        <w:rPr>
          <w:rFonts w:ascii="宋体" w:hAnsi="宋体" w:eastAsia="宋体"/>
          <w:sz w:val="24"/>
          <w:szCs w:val="24"/>
        </w:rPr>
        <w:t>3.</w:t>
      </w:r>
      <w:r>
        <w:rPr>
          <w:rFonts w:hint="eastAsia" w:ascii="宋体" w:hAnsi="宋体" w:eastAsia="宋体"/>
          <w:b/>
          <w:sz w:val="24"/>
          <w:szCs w:val="24"/>
        </w:rPr>
        <w:t>基于Lora微调大型预训练模型的同批次产品故障预测</w:t>
      </w:r>
      <w:r>
        <w:rPr>
          <w:rFonts w:hint="eastAsia" w:ascii="宋体" w:hAnsi="宋体" w:eastAsia="宋体"/>
          <w:sz w:val="24"/>
          <w:szCs w:val="24"/>
        </w:rPr>
        <w:t>：基于</w:t>
      </w:r>
      <w:r>
        <w:rPr>
          <w:rFonts w:hint="eastAsia" w:ascii="宋体" w:hAnsi="宋体" w:eastAsia="宋体"/>
          <w:sz w:val="24"/>
          <w:szCs w:val="24"/>
          <w:highlight w:val="none"/>
          <w:lang w:eastAsia="zh-CN"/>
        </w:rPr>
        <w:t>飞机系统</w:t>
      </w:r>
      <w:r>
        <w:rPr>
          <w:rFonts w:hint="eastAsia" w:ascii="宋体" w:hAnsi="宋体" w:eastAsia="宋体"/>
          <w:sz w:val="24"/>
          <w:szCs w:val="24"/>
          <w:highlight w:val="none"/>
        </w:rPr>
        <w:t>监测数据特征，</w:t>
      </w:r>
      <w:r>
        <w:rPr>
          <w:rFonts w:hint="eastAsia" w:ascii="宋体" w:hAnsi="宋体" w:eastAsia="宋体"/>
          <w:sz w:val="24"/>
          <w:szCs w:val="24"/>
        </w:rPr>
        <w:t>在适配微调架构的建模基础上研究面向飞机典型</w:t>
      </w:r>
      <w:r>
        <w:rPr>
          <w:rFonts w:hint="eastAsia" w:ascii="宋体" w:hAnsi="宋体" w:eastAsia="宋体"/>
          <w:sz w:val="24"/>
          <w:szCs w:val="24"/>
          <w:lang w:val="en-US" w:eastAsia="zh-CN"/>
        </w:rPr>
        <w:t>系统</w:t>
      </w:r>
      <w:r>
        <w:rPr>
          <w:rFonts w:hint="eastAsia" w:ascii="宋体" w:hAnsi="宋体" w:eastAsia="宋体"/>
          <w:sz w:val="24"/>
          <w:szCs w:val="24"/>
        </w:rPr>
        <w:t>故障预测任务的Lora微调技术，开展Lora微调参数适配性优选，提升故障预测大模型的预测泛化能力，打通针对飞机典型部件故障预测应用的模型参数微调、超参数优选、预测大模型测试等关键技术环节，突破退化数据分布差异、故障样本不足条件下故障预测技术。</w:t>
      </w:r>
    </w:p>
    <w:p>
      <w:pPr>
        <w:pStyle w:val="12"/>
        <w:numPr>
          <w:ilvl w:val="0"/>
          <w:numId w:val="1"/>
        </w:numPr>
        <w:spacing w:line="560" w:lineRule="exact"/>
        <w:ind w:firstLineChars="0"/>
        <w:jc w:val="left"/>
        <w:rPr>
          <w:rFonts w:ascii="黑体" w:hAnsi="黑体" w:eastAsia="黑体"/>
          <w:b/>
          <w:bCs/>
          <w:sz w:val="24"/>
          <w:szCs w:val="24"/>
        </w:rPr>
      </w:pPr>
      <w:r>
        <w:rPr>
          <w:rFonts w:hint="eastAsia" w:ascii="黑体" w:hAnsi="黑体" w:eastAsia="黑体"/>
          <w:b/>
          <w:bCs/>
          <w:sz w:val="24"/>
          <w:szCs w:val="24"/>
        </w:rPr>
        <w:t>考核指标</w:t>
      </w:r>
    </w:p>
    <w:p>
      <w:pPr>
        <w:pStyle w:val="12"/>
        <w:numPr>
          <w:ilvl w:val="0"/>
          <w:numId w:val="2"/>
        </w:numPr>
        <w:spacing w:line="560" w:lineRule="exact"/>
        <w:ind w:firstLineChars="0"/>
        <w:jc w:val="left"/>
        <w:rPr>
          <w:rFonts w:ascii="宋体" w:hAnsi="宋体" w:eastAsia="宋体"/>
          <w:sz w:val="24"/>
          <w:szCs w:val="24"/>
        </w:rPr>
      </w:pPr>
      <w:r>
        <w:rPr>
          <w:rFonts w:hint="eastAsia" w:ascii="宋体" w:hAnsi="宋体" w:eastAsia="宋体"/>
          <w:sz w:val="24"/>
          <w:szCs w:val="24"/>
        </w:rPr>
        <w:t>至少包含1类典型旋转机械对象的故障预测</w:t>
      </w:r>
    </w:p>
    <w:p>
      <w:pPr>
        <w:pStyle w:val="12"/>
        <w:numPr>
          <w:ilvl w:val="0"/>
          <w:numId w:val="2"/>
        </w:numPr>
        <w:spacing w:line="560" w:lineRule="exact"/>
        <w:ind w:firstLineChars="0"/>
        <w:jc w:val="left"/>
        <w:rPr>
          <w:rFonts w:ascii="宋体" w:hAnsi="宋体" w:eastAsia="宋体"/>
          <w:sz w:val="24"/>
          <w:szCs w:val="24"/>
        </w:rPr>
      </w:pPr>
      <w:r>
        <w:rPr>
          <w:rFonts w:hint="eastAsia" w:ascii="宋体" w:hAnsi="宋体" w:eastAsia="宋体"/>
          <w:sz w:val="24"/>
          <w:szCs w:val="24"/>
        </w:rPr>
        <w:t>故障预测准确率≥8</w:t>
      </w:r>
      <w:r>
        <w:rPr>
          <w:rFonts w:ascii="宋体" w:hAnsi="宋体" w:eastAsia="宋体"/>
          <w:sz w:val="24"/>
          <w:szCs w:val="24"/>
        </w:rPr>
        <w:t>5%</w:t>
      </w:r>
      <w:r>
        <w:rPr>
          <w:rFonts w:hint="eastAsia" w:ascii="宋体" w:hAnsi="宋体" w:eastAsia="宋体"/>
          <w:sz w:val="24"/>
          <w:szCs w:val="24"/>
        </w:rPr>
        <w:t>，相比现有主流预测方法在方法的适应性和方法的精度上实现提升</w:t>
      </w:r>
    </w:p>
    <w:p>
      <w:pPr>
        <w:pStyle w:val="12"/>
        <w:numPr>
          <w:ilvl w:val="0"/>
          <w:numId w:val="1"/>
        </w:numPr>
        <w:spacing w:line="560" w:lineRule="exact"/>
        <w:ind w:firstLineChars="0"/>
        <w:jc w:val="left"/>
        <w:rPr>
          <w:rFonts w:ascii="黑体" w:hAnsi="黑体" w:eastAsia="黑体"/>
          <w:b/>
          <w:bCs/>
          <w:sz w:val="24"/>
          <w:szCs w:val="24"/>
        </w:rPr>
      </w:pPr>
      <w:r>
        <w:rPr>
          <w:rFonts w:hint="eastAsia" w:ascii="黑体" w:hAnsi="黑体" w:eastAsia="黑体"/>
          <w:b/>
          <w:bCs/>
          <w:sz w:val="24"/>
          <w:szCs w:val="24"/>
        </w:rPr>
        <w:t>主要预期成果</w:t>
      </w:r>
    </w:p>
    <w:p>
      <w:pPr>
        <w:spacing w:line="560" w:lineRule="exact"/>
        <w:ind w:firstLine="480"/>
        <w:jc w:val="left"/>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lang w:eastAsia="zh-CN"/>
        </w:rPr>
        <w:t>共同</w:t>
      </w:r>
      <w:r>
        <w:rPr>
          <w:rFonts w:hint="eastAsia" w:ascii="宋体" w:hAnsi="宋体" w:eastAsia="宋体"/>
          <w:sz w:val="24"/>
          <w:szCs w:val="24"/>
        </w:rPr>
        <w:t>申请专利1</w:t>
      </w:r>
      <w:r>
        <w:rPr>
          <w:rFonts w:hint="eastAsia" w:ascii="宋体" w:hAnsi="宋体" w:eastAsia="宋体"/>
          <w:sz w:val="24"/>
          <w:szCs w:val="24"/>
          <w:lang w:eastAsia="zh-CN"/>
        </w:rPr>
        <w:t>项</w:t>
      </w:r>
      <w:r>
        <w:rPr>
          <w:rFonts w:hint="eastAsia" w:ascii="宋体" w:hAnsi="宋体" w:eastAsia="宋体"/>
          <w:sz w:val="24"/>
          <w:szCs w:val="24"/>
        </w:rPr>
        <w:t>；</w:t>
      </w:r>
    </w:p>
    <w:p>
      <w:pPr>
        <w:spacing w:line="560" w:lineRule="exact"/>
        <w:ind w:firstLine="480"/>
        <w:jc w:val="left"/>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可运行的基于微调预训练的飞机典型部件故障预测大模型，包括：模型架构文件及模型配置文件；</w:t>
      </w:r>
    </w:p>
    <w:p>
      <w:pPr>
        <w:spacing w:line="560" w:lineRule="exact"/>
        <w:ind w:firstLine="480"/>
        <w:jc w:val="left"/>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《基于低秩适配微调预训练大模型的飞机典型部件故障预测技术研究报告》1份；</w:t>
      </w:r>
    </w:p>
    <w:p>
      <w:pPr>
        <w:spacing w:line="560" w:lineRule="exact"/>
        <w:ind w:firstLine="480"/>
        <w:jc w:val="left"/>
        <w:rPr>
          <w:rFonts w:hint="eastAsia" w:ascii="宋体" w:hAnsi="宋体" w:eastAsia="宋体"/>
          <w:sz w:val="24"/>
          <w:szCs w:val="24"/>
          <w:lang w:eastAsia="zh-CN"/>
        </w:rPr>
      </w:pPr>
      <w:r>
        <w:rPr>
          <w:rFonts w:ascii="宋体" w:hAnsi="宋体" w:eastAsia="宋体"/>
          <w:sz w:val="24"/>
          <w:szCs w:val="24"/>
        </w:rPr>
        <w:t>4.</w:t>
      </w:r>
      <w:r>
        <w:rPr>
          <w:rFonts w:hint="eastAsia" w:ascii="宋体" w:hAnsi="宋体" w:eastAsia="宋体"/>
          <w:sz w:val="24"/>
          <w:szCs w:val="24"/>
        </w:rPr>
        <w:t>科技论文1</w:t>
      </w:r>
      <w:r>
        <w:rPr>
          <w:rFonts w:ascii="宋体" w:hAnsi="宋体" w:eastAsia="宋体"/>
          <w:sz w:val="24"/>
          <w:szCs w:val="24"/>
        </w:rPr>
        <w:t>~2</w:t>
      </w:r>
      <w:r>
        <w:rPr>
          <w:rFonts w:hint="eastAsia" w:ascii="宋体" w:hAnsi="宋体" w:eastAsia="宋体"/>
          <w:sz w:val="24"/>
          <w:szCs w:val="24"/>
        </w:rPr>
        <w:t>篇</w:t>
      </w:r>
      <w:r>
        <w:rPr>
          <w:rFonts w:hint="eastAsia" w:ascii="宋体" w:hAnsi="宋体" w:eastAsia="宋体"/>
          <w:sz w:val="24"/>
          <w:szCs w:val="24"/>
          <w:lang w:eastAsia="zh-CN"/>
        </w:rPr>
        <w:t>。</w:t>
      </w:r>
      <w:bookmarkStart w:id="0" w:name="_GoBack"/>
      <w:bookmarkEnd w:id="0"/>
    </w:p>
    <w:p>
      <w:pPr>
        <w:pStyle w:val="12"/>
        <w:numPr>
          <w:ilvl w:val="0"/>
          <w:numId w:val="1"/>
        </w:numPr>
        <w:spacing w:line="560" w:lineRule="exact"/>
        <w:ind w:firstLineChars="0"/>
        <w:jc w:val="left"/>
        <w:rPr>
          <w:rFonts w:ascii="黑体" w:hAnsi="黑体" w:eastAsia="黑体"/>
          <w:b/>
          <w:bCs/>
          <w:sz w:val="24"/>
          <w:szCs w:val="24"/>
        </w:rPr>
      </w:pPr>
      <w:r>
        <w:rPr>
          <w:rFonts w:hint="eastAsia" w:ascii="黑体" w:hAnsi="黑体" w:eastAsia="黑体"/>
          <w:b/>
          <w:bCs/>
          <w:sz w:val="24"/>
          <w:szCs w:val="24"/>
        </w:rPr>
        <w:t>建议的研究经费</w:t>
      </w:r>
    </w:p>
    <w:p>
      <w:pPr>
        <w:spacing w:line="560" w:lineRule="exact"/>
        <w:ind w:firstLine="480"/>
        <w:jc w:val="left"/>
        <w:rPr>
          <w:rFonts w:ascii="宋体" w:hAnsi="宋体" w:eastAsia="宋体"/>
          <w:sz w:val="24"/>
          <w:szCs w:val="24"/>
        </w:rPr>
      </w:pPr>
      <w:r>
        <w:rPr>
          <w:rFonts w:ascii="宋体" w:hAnsi="宋体" w:eastAsia="宋体"/>
          <w:sz w:val="24"/>
          <w:szCs w:val="24"/>
        </w:rPr>
        <w:t>50</w:t>
      </w:r>
      <w:r>
        <w:rPr>
          <w:rFonts w:hint="eastAsia" w:ascii="宋体" w:hAnsi="宋体" w:eastAsia="宋体"/>
          <w:sz w:val="24"/>
          <w:szCs w:val="24"/>
        </w:rPr>
        <w:t>万元。</w:t>
      </w:r>
    </w:p>
    <w:sectPr>
      <w:pgSz w:w="11906" w:h="16838"/>
      <w:pgMar w:top="1134" w:right="1701"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118FD"/>
    <w:multiLevelType w:val="multilevel"/>
    <w:tmpl w:val="180118FD"/>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768652BB"/>
    <w:multiLevelType w:val="multilevel"/>
    <w:tmpl w:val="768652BB"/>
    <w:lvl w:ilvl="0" w:tentative="0">
      <w:start w:val="1"/>
      <w:numFmt w:val="chineseCountingThousand"/>
      <w:suff w:val="nothing"/>
      <w:lvlText w:val="%1、"/>
      <w:lvlJc w:val="left"/>
      <w:pPr>
        <w:ind w:left="480" w:hanging="48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A2NTQxYjg3YTg1YWExMzMwYjAyNDYwNGYyOTFkNTUifQ=="/>
  </w:docVars>
  <w:rsids>
    <w:rsidRoot w:val="006B34DF"/>
    <w:rsid w:val="000040A6"/>
    <w:rsid w:val="000332F6"/>
    <w:rsid w:val="00037818"/>
    <w:rsid w:val="00056496"/>
    <w:rsid w:val="00086D5A"/>
    <w:rsid w:val="00097BED"/>
    <w:rsid w:val="000C6759"/>
    <w:rsid w:val="000D1786"/>
    <w:rsid w:val="000F6F5D"/>
    <w:rsid w:val="00103D16"/>
    <w:rsid w:val="00106F70"/>
    <w:rsid w:val="00135ADA"/>
    <w:rsid w:val="00136635"/>
    <w:rsid w:val="00163E68"/>
    <w:rsid w:val="001E1827"/>
    <w:rsid w:val="00203428"/>
    <w:rsid w:val="002208C0"/>
    <w:rsid w:val="00233684"/>
    <w:rsid w:val="0025166F"/>
    <w:rsid w:val="00294B96"/>
    <w:rsid w:val="002B2AC8"/>
    <w:rsid w:val="002D6390"/>
    <w:rsid w:val="00307CB0"/>
    <w:rsid w:val="00376854"/>
    <w:rsid w:val="003D6E90"/>
    <w:rsid w:val="0048312C"/>
    <w:rsid w:val="00496A80"/>
    <w:rsid w:val="004A0626"/>
    <w:rsid w:val="004A279C"/>
    <w:rsid w:val="00511821"/>
    <w:rsid w:val="00520B88"/>
    <w:rsid w:val="00543B4F"/>
    <w:rsid w:val="00573A45"/>
    <w:rsid w:val="00582741"/>
    <w:rsid w:val="0058389F"/>
    <w:rsid w:val="00592D3A"/>
    <w:rsid w:val="00596734"/>
    <w:rsid w:val="005B0D78"/>
    <w:rsid w:val="005D0282"/>
    <w:rsid w:val="005E6250"/>
    <w:rsid w:val="005F04ED"/>
    <w:rsid w:val="006122A5"/>
    <w:rsid w:val="00632F37"/>
    <w:rsid w:val="006936CE"/>
    <w:rsid w:val="00694C51"/>
    <w:rsid w:val="006B0AFA"/>
    <w:rsid w:val="006B34DF"/>
    <w:rsid w:val="006C37F6"/>
    <w:rsid w:val="006E3D71"/>
    <w:rsid w:val="006F43B3"/>
    <w:rsid w:val="00725833"/>
    <w:rsid w:val="00726399"/>
    <w:rsid w:val="00726F69"/>
    <w:rsid w:val="00730C21"/>
    <w:rsid w:val="00771BB3"/>
    <w:rsid w:val="0079655C"/>
    <w:rsid w:val="007E0019"/>
    <w:rsid w:val="008035E1"/>
    <w:rsid w:val="00811885"/>
    <w:rsid w:val="00816FE2"/>
    <w:rsid w:val="0083117E"/>
    <w:rsid w:val="008454E4"/>
    <w:rsid w:val="008532A2"/>
    <w:rsid w:val="00886F35"/>
    <w:rsid w:val="008E7D21"/>
    <w:rsid w:val="0091583E"/>
    <w:rsid w:val="00926DAC"/>
    <w:rsid w:val="009463D1"/>
    <w:rsid w:val="00961755"/>
    <w:rsid w:val="009B0A48"/>
    <w:rsid w:val="009D1C7B"/>
    <w:rsid w:val="009E5305"/>
    <w:rsid w:val="00A1464B"/>
    <w:rsid w:val="00A42AFA"/>
    <w:rsid w:val="00A4711B"/>
    <w:rsid w:val="00A61B7D"/>
    <w:rsid w:val="00AA00C2"/>
    <w:rsid w:val="00B0333D"/>
    <w:rsid w:val="00B35243"/>
    <w:rsid w:val="00B44453"/>
    <w:rsid w:val="00B9604B"/>
    <w:rsid w:val="00BA680C"/>
    <w:rsid w:val="00BB62A7"/>
    <w:rsid w:val="00BD0C4D"/>
    <w:rsid w:val="00BE2EF4"/>
    <w:rsid w:val="00BE4089"/>
    <w:rsid w:val="00C323CD"/>
    <w:rsid w:val="00C54AAC"/>
    <w:rsid w:val="00C64095"/>
    <w:rsid w:val="00C648A9"/>
    <w:rsid w:val="00C82423"/>
    <w:rsid w:val="00CD0F5E"/>
    <w:rsid w:val="00CD3FA6"/>
    <w:rsid w:val="00CE6D6B"/>
    <w:rsid w:val="00D54770"/>
    <w:rsid w:val="00D72077"/>
    <w:rsid w:val="00D930D5"/>
    <w:rsid w:val="00D9354A"/>
    <w:rsid w:val="00DA68F7"/>
    <w:rsid w:val="00E26ED9"/>
    <w:rsid w:val="00E415F5"/>
    <w:rsid w:val="00E43C69"/>
    <w:rsid w:val="00E53BC5"/>
    <w:rsid w:val="00EB2834"/>
    <w:rsid w:val="00EB6817"/>
    <w:rsid w:val="00EE5E4B"/>
    <w:rsid w:val="00EF2D77"/>
    <w:rsid w:val="00F37931"/>
    <w:rsid w:val="00F54FDB"/>
    <w:rsid w:val="00F56492"/>
    <w:rsid w:val="00F6327F"/>
    <w:rsid w:val="00FB75C7"/>
    <w:rsid w:val="00FD5AA3"/>
    <w:rsid w:val="07A63582"/>
    <w:rsid w:val="09970DB2"/>
    <w:rsid w:val="0CE41786"/>
    <w:rsid w:val="17461B3F"/>
    <w:rsid w:val="35F31D86"/>
    <w:rsid w:val="369A340E"/>
    <w:rsid w:val="3BB92EE3"/>
    <w:rsid w:val="4FA84B33"/>
    <w:rsid w:val="59FB5B93"/>
    <w:rsid w:val="627B65F5"/>
    <w:rsid w:val="6EF14666"/>
    <w:rsid w:val="6F5A6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4"/>
    <w:semiHidden/>
    <w:unhideWhenUsed/>
    <w:qFormat/>
    <w:uiPriority w:val="99"/>
    <w:rPr>
      <w:b/>
      <w:bCs/>
    </w:rPr>
  </w:style>
  <w:style w:type="paragraph" w:styleId="3">
    <w:name w:val="annotation text"/>
    <w:basedOn w:val="1"/>
    <w:link w:val="13"/>
    <w:semiHidden/>
    <w:unhideWhenUsed/>
    <w:qFormat/>
    <w:uiPriority w:val="99"/>
    <w:pPr>
      <w:jc w:val="left"/>
    </w:pPr>
  </w:style>
  <w:style w:type="paragraph" w:styleId="4">
    <w:name w:val="Balloon Text"/>
    <w:basedOn w:val="1"/>
    <w:link w:val="15"/>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semiHidden/>
    <w:unhideWhenUsed/>
    <w:qFormat/>
    <w:uiPriority w:val="99"/>
    <w:rPr>
      <w:sz w:val="21"/>
      <w:szCs w:val="21"/>
    </w:rPr>
  </w:style>
  <w:style w:type="character" w:customStyle="1" w:styleId="10">
    <w:name w:val="页眉 字符"/>
    <w:basedOn w:val="7"/>
    <w:link w:val="6"/>
    <w:qFormat/>
    <w:uiPriority w:val="99"/>
    <w:rPr>
      <w:sz w:val="18"/>
      <w:szCs w:val="18"/>
    </w:rPr>
  </w:style>
  <w:style w:type="character" w:customStyle="1" w:styleId="11">
    <w:name w:val="页脚 字符"/>
    <w:basedOn w:val="7"/>
    <w:link w:val="5"/>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批注文字 字符"/>
    <w:basedOn w:val="7"/>
    <w:link w:val="3"/>
    <w:semiHidden/>
    <w:qFormat/>
    <w:uiPriority w:val="99"/>
    <w:rPr>
      <w:kern w:val="2"/>
      <w:sz w:val="21"/>
      <w:szCs w:val="22"/>
    </w:rPr>
  </w:style>
  <w:style w:type="character" w:customStyle="1" w:styleId="14">
    <w:name w:val="批注主题 字符"/>
    <w:basedOn w:val="13"/>
    <w:link w:val="2"/>
    <w:semiHidden/>
    <w:qFormat/>
    <w:uiPriority w:val="99"/>
    <w:rPr>
      <w:b/>
      <w:bCs/>
      <w:kern w:val="2"/>
      <w:sz w:val="21"/>
      <w:szCs w:val="22"/>
    </w:rPr>
  </w:style>
  <w:style w:type="character" w:customStyle="1" w:styleId="15">
    <w:name w:val="批注框文本 字符"/>
    <w:basedOn w:val="7"/>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203</Words>
  <Characters>1163</Characters>
  <Lines>9</Lines>
  <Paragraphs>2</Paragraphs>
  <TotalTime>81</TotalTime>
  <ScaleCrop>false</ScaleCrop>
  <LinksUpToDate>false</LinksUpToDate>
  <CharactersWithSpaces>1364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2321</dc:creator>
  <cp:lastModifiedBy>吕骘</cp:lastModifiedBy>
  <dcterms:modified xsi:type="dcterms:W3CDTF">2024-06-05T01:08:27Z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0E81F1CF25824DE8A034D823B250E70D_13</vt:lpwstr>
  </property>
</Properties>
</file>